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遂溪供销合作联社2015年决算批复说明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部门职责、机构设置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20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1、主要职能：我单位</w:t>
      </w:r>
      <w:r>
        <w:rPr>
          <w:rFonts w:hint="eastAsia"/>
          <w:sz w:val="32"/>
          <w:szCs w:val="32"/>
        </w:rPr>
        <w:t>主要职能</w:t>
      </w:r>
      <w:r>
        <w:rPr>
          <w:rFonts w:hint="eastAsia"/>
          <w:sz w:val="32"/>
          <w:szCs w:val="32"/>
          <w:lang w:eastAsia="zh-CN"/>
        </w:rPr>
        <w:t>是</w:t>
      </w:r>
      <w:r>
        <w:rPr>
          <w:rFonts w:hint="eastAsia" w:ascii="仿宋_GB2312" w:eastAsia="仿宋_GB2312"/>
          <w:sz w:val="32"/>
          <w:szCs w:val="32"/>
        </w:rPr>
        <w:t>指导、协调、监督、服务、教育培训，促进全县供销社系统开展业务工作，即做好全县重要农业生产资料、农副产品和日用消费品经营的组织、指导、协调、监督、服务，引导农民发展商品经济，促进城乡物资交流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 xml:space="preserve">    2、机构设置：内设</w:t>
      </w:r>
      <w:r>
        <w:rPr>
          <w:rFonts w:hint="eastAsia" w:ascii="仿宋_GB2312" w:eastAsia="仿宋_GB2312"/>
          <w:sz w:val="32"/>
          <w:szCs w:val="32"/>
        </w:rPr>
        <w:t>有八个职能股室，分别是：办公室、合作指导股、财会财、人保股、监审股、资产管理部、综合业务股、停办企业托管中心。</w:t>
      </w:r>
    </w:p>
    <w:p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3、人员构成情况：我单位行政</w:t>
      </w:r>
      <w:r>
        <w:rPr>
          <w:rFonts w:hint="eastAsia" w:ascii="仿宋_GB2312" w:eastAsia="仿宋_GB2312"/>
          <w:sz w:val="32"/>
          <w:szCs w:val="32"/>
        </w:rPr>
        <w:t>编制数为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19人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其中参照公务员法管理人员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17人，</w:t>
      </w:r>
      <w:r>
        <w:rPr>
          <w:rFonts w:hint="eastAsia" w:ascii="仿宋_GB2312" w:eastAsia="仿宋_GB2312"/>
          <w:sz w:val="32"/>
          <w:szCs w:val="32"/>
        </w:rPr>
        <w:t>事业编制数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2人；</w:t>
      </w:r>
      <w:r>
        <w:rPr>
          <w:rFonts w:hint="eastAsia" w:ascii="仿宋_GB2312" w:eastAsia="仿宋_GB2312"/>
          <w:sz w:val="32"/>
          <w:szCs w:val="32"/>
        </w:rPr>
        <w:t>年末实有在职人员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Verdana" w:eastAsia="仿宋_GB2312"/>
          <w:color w:val="000000"/>
          <w:sz w:val="32"/>
          <w:szCs w:val="32"/>
        </w:rPr>
        <w:t>退休人员</w:t>
      </w:r>
      <w:r>
        <w:rPr>
          <w:rFonts w:hint="eastAsia" w:ascii="仿宋_GB2312" w:hAnsi="Verdana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Verdana" w:eastAsia="仿宋_GB2312"/>
          <w:color w:val="000000"/>
          <w:sz w:val="32"/>
          <w:szCs w:val="32"/>
        </w:rPr>
        <w:t>人。</w:t>
      </w:r>
      <w:r>
        <w:rPr>
          <w:rFonts w:hint="eastAsia" w:ascii="仿宋_GB2312" w:eastAsia="仿宋_GB2312"/>
          <w:sz w:val="32"/>
          <w:szCs w:val="32"/>
        </w:rPr>
        <w:t>独立编制机构数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个，独立核算机构数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rPr>
          <w:rFonts w:hint="eastAsia" w:ascii="仿宋_GB2312"/>
          <w:b/>
          <w:sz w:val="30"/>
          <w:szCs w:val="30"/>
          <w:lang w:eastAsia="zh-CN"/>
        </w:rPr>
      </w:pPr>
      <w:r>
        <w:rPr>
          <w:rFonts w:hint="eastAsia" w:ascii="仿宋_GB2312"/>
          <w:b/>
          <w:sz w:val="30"/>
          <w:szCs w:val="30"/>
          <w:lang w:eastAsia="zh-CN"/>
        </w:rPr>
        <w:t>二、</w:t>
      </w:r>
      <w:r>
        <w:rPr>
          <w:rFonts w:hint="eastAsia" w:ascii="仿宋_GB2312"/>
          <w:b/>
          <w:sz w:val="30"/>
          <w:szCs w:val="30"/>
        </w:rPr>
        <w:t>预算执行情况分析</w:t>
      </w:r>
      <w:r>
        <w:rPr>
          <w:rFonts w:hint="eastAsia" w:ascii="仿宋_GB2312"/>
          <w:b/>
          <w:sz w:val="30"/>
          <w:szCs w:val="30"/>
          <w:lang w:eastAsia="zh-CN"/>
        </w:rPr>
        <w:t>。</w:t>
      </w:r>
    </w:p>
    <w:p>
      <w:pPr>
        <w:spacing w:line="560" w:lineRule="exact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/>
          <w:b/>
          <w:sz w:val="30"/>
          <w:szCs w:val="30"/>
          <w:lang w:val="en-US" w:eastAsia="zh-CN"/>
        </w:rPr>
        <w:t xml:space="preserve">    1、</w:t>
      </w:r>
      <w:r>
        <w:rPr>
          <w:rFonts w:hint="eastAsia" w:ascii="仿宋_GB2312" w:eastAsia="仿宋_GB2312"/>
          <w:b/>
          <w:sz w:val="28"/>
          <w:szCs w:val="28"/>
        </w:rPr>
        <w:t>收入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支出</w:t>
      </w:r>
      <w:r>
        <w:rPr>
          <w:rFonts w:hint="eastAsia" w:ascii="仿宋_GB2312" w:eastAsia="仿宋_GB2312"/>
          <w:b/>
          <w:sz w:val="28"/>
          <w:szCs w:val="28"/>
        </w:rPr>
        <w:t>决算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总</w:t>
      </w:r>
      <w:r>
        <w:rPr>
          <w:rFonts w:hint="eastAsia" w:ascii="仿宋_GB2312" w:eastAsia="仿宋_GB2312"/>
          <w:b/>
          <w:sz w:val="28"/>
          <w:szCs w:val="28"/>
        </w:rPr>
        <w:t>说明</w:t>
      </w: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本</w:t>
      </w:r>
      <w:r>
        <w:rPr>
          <w:rFonts w:hint="eastAsia" w:ascii="仿宋_GB2312" w:hAnsi="宋体" w:eastAsia="仿宋_GB2312"/>
          <w:sz w:val="30"/>
          <w:szCs w:val="30"/>
        </w:rPr>
        <w:t>单位本年度一般预算财政拨款收入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总计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144.64万</w:t>
      </w:r>
      <w:r>
        <w:rPr>
          <w:rFonts w:hint="eastAsia" w:ascii="仿宋_GB2312" w:hAnsi="宋体" w:eastAsia="仿宋_GB2312"/>
          <w:sz w:val="30"/>
          <w:szCs w:val="30"/>
        </w:rPr>
        <w:t>元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，支出总计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144.64万元。与2014年度相比，收、支各增加17.33万元。主要原因：一是基本支出—人员经费支出财政拨款116.79万元，同比增加22.47万元，二是日用公用经费支出拨款27.85万元，同比增加4.86万元，三是项目支出本年无有发生数，同比减少10万元。致使本年度</w:t>
      </w:r>
      <w:r>
        <w:rPr>
          <w:rFonts w:hint="eastAsia" w:ascii="仿宋_GB2312" w:hAnsi="宋体" w:eastAsia="仿宋_GB2312"/>
          <w:sz w:val="30"/>
          <w:szCs w:val="30"/>
        </w:rPr>
        <w:t>一般预算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财政拨款比上年增加17.33万元。</w:t>
      </w:r>
    </w:p>
    <w:p>
      <w:pPr>
        <w:spacing w:line="560" w:lineRule="exact"/>
        <w:ind w:firstLine="630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2、</w:t>
      </w:r>
      <w:r>
        <w:rPr>
          <w:rFonts w:hint="eastAsia" w:ascii="仿宋_GB2312" w:eastAsia="仿宋_GB2312"/>
          <w:b/>
          <w:sz w:val="28"/>
          <w:szCs w:val="28"/>
        </w:rPr>
        <w:t>支出决算说明</w:t>
      </w:r>
    </w:p>
    <w:p>
      <w:pPr>
        <w:spacing w:line="560" w:lineRule="exact"/>
        <w:ind w:firstLine="6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本单位</w:t>
      </w:r>
      <w:r>
        <w:rPr>
          <w:rFonts w:hint="eastAsia" w:ascii="仿宋_GB2312" w:eastAsia="仿宋_GB2312"/>
          <w:sz w:val="28"/>
          <w:szCs w:val="28"/>
        </w:rPr>
        <w:t>201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年财政拨款支出决算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144.64</w:t>
      </w:r>
      <w:r>
        <w:rPr>
          <w:rFonts w:hint="eastAsia" w:ascii="仿宋_GB2312" w:eastAsia="仿宋_GB2312"/>
          <w:sz w:val="28"/>
          <w:szCs w:val="28"/>
        </w:rPr>
        <w:t>万元，其中基本支出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144.64</w:t>
      </w:r>
      <w:r>
        <w:rPr>
          <w:rFonts w:hint="eastAsia" w:ascii="仿宋_GB2312" w:eastAsia="仿宋_GB2312"/>
          <w:sz w:val="28"/>
          <w:szCs w:val="28"/>
        </w:rPr>
        <w:t>万元,其中工资福利支出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83.73</w:t>
      </w:r>
      <w:r>
        <w:rPr>
          <w:rFonts w:hint="eastAsia" w:ascii="仿宋_GB2312" w:eastAsia="仿宋_GB2312"/>
          <w:sz w:val="28"/>
          <w:szCs w:val="28"/>
        </w:rPr>
        <w:t>万元，占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57.89</w:t>
      </w:r>
      <w:r>
        <w:rPr>
          <w:rFonts w:hint="eastAsia" w:ascii="仿宋_GB2312" w:eastAsia="仿宋_GB2312"/>
          <w:sz w:val="28"/>
          <w:szCs w:val="28"/>
        </w:rPr>
        <w:t>%；对个人和家庭的补助支出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33.06</w:t>
      </w:r>
      <w:r>
        <w:rPr>
          <w:rFonts w:hint="eastAsia" w:ascii="仿宋_GB2312" w:eastAsia="仿宋_GB2312"/>
          <w:sz w:val="28"/>
          <w:szCs w:val="28"/>
        </w:rPr>
        <w:t>万元，</w:t>
      </w:r>
      <w:bookmarkStart w:id="0" w:name="OLE_LINK1"/>
      <w:r>
        <w:rPr>
          <w:rFonts w:hint="eastAsia" w:ascii="仿宋_GB2312" w:eastAsia="仿宋_GB2312"/>
          <w:sz w:val="28"/>
          <w:szCs w:val="28"/>
        </w:rPr>
        <w:t>占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22.86</w:t>
      </w:r>
      <w:r>
        <w:rPr>
          <w:rFonts w:hint="eastAsia" w:ascii="仿宋_GB2312" w:eastAsia="仿宋_GB2312"/>
          <w:sz w:val="28"/>
          <w:szCs w:val="28"/>
        </w:rPr>
        <w:t>%；</w:t>
      </w:r>
      <w:bookmarkEnd w:id="0"/>
      <w:r>
        <w:rPr>
          <w:rFonts w:hint="eastAsia" w:ascii="仿宋_GB2312" w:eastAsia="仿宋_GB2312"/>
          <w:sz w:val="28"/>
          <w:szCs w:val="28"/>
        </w:rPr>
        <w:t>一般商品和服务支出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27.64</w:t>
      </w:r>
      <w:r>
        <w:rPr>
          <w:rFonts w:hint="eastAsia" w:ascii="仿宋_GB2312" w:eastAsia="仿宋_GB2312"/>
          <w:sz w:val="28"/>
          <w:szCs w:val="28"/>
        </w:rPr>
        <w:t>万元，占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19.11</w:t>
      </w:r>
      <w:r>
        <w:rPr>
          <w:rFonts w:hint="eastAsia" w:ascii="仿宋_GB2312" w:eastAsia="仿宋_GB2312"/>
          <w:sz w:val="28"/>
          <w:szCs w:val="28"/>
        </w:rPr>
        <w:t>%</w:t>
      </w:r>
      <w:r>
        <w:rPr>
          <w:rFonts w:hint="eastAsia" w:ascii="仿宋_GB2312" w:eastAsia="仿宋_GB2312"/>
          <w:sz w:val="28"/>
          <w:szCs w:val="28"/>
          <w:lang w:eastAsia="zh-CN"/>
        </w:rPr>
        <w:t>；其他资本性支出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0.21万元，</w:t>
      </w:r>
      <w:r>
        <w:rPr>
          <w:rFonts w:hint="eastAsia" w:ascii="仿宋_GB2312" w:eastAsia="仿宋_GB2312"/>
          <w:sz w:val="28"/>
          <w:szCs w:val="28"/>
        </w:rPr>
        <w:t>占</w:t>
      </w:r>
      <w:bookmarkStart w:id="1" w:name="OLE_LINK4"/>
      <w:r>
        <w:rPr>
          <w:rFonts w:hint="eastAsia" w:ascii="仿宋_GB2312" w:eastAsia="仿宋_GB2312"/>
          <w:sz w:val="28"/>
          <w:szCs w:val="28"/>
          <w:lang w:val="en-US" w:eastAsia="zh-CN"/>
        </w:rPr>
        <w:t>0.14</w:t>
      </w:r>
      <w:r>
        <w:rPr>
          <w:rFonts w:hint="eastAsia" w:ascii="仿宋_GB2312" w:eastAsia="仿宋_GB2312"/>
          <w:sz w:val="28"/>
          <w:szCs w:val="28"/>
        </w:rPr>
        <w:t>%</w:t>
      </w:r>
      <w:bookmarkEnd w:id="1"/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>
      <w:pPr>
        <w:spacing w:line="560" w:lineRule="exact"/>
        <w:ind w:firstLine="630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b/>
          <w:sz w:val="28"/>
          <w:szCs w:val="28"/>
        </w:rPr>
        <w:t>、固定资产情况</w:t>
      </w:r>
    </w:p>
    <w:p>
      <w:pPr>
        <w:spacing w:line="560" w:lineRule="exact"/>
        <w:ind w:firstLine="6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本单位</w:t>
      </w:r>
      <w:r>
        <w:rPr>
          <w:rFonts w:hint="eastAsia" w:ascii="仿宋_GB2312" w:eastAsia="仿宋_GB2312"/>
          <w:sz w:val="28"/>
          <w:szCs w:val="28"/>
        </w:rPr>
        <w:t>年初固定资产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43.15</w:t>
      </w:r>
      <w:r>
        <w:rPr>
          <w:rFonts w:hint="eastAsia" w:ascii="仿宋_GB2312" w:eastAsia="仿宋_GB2312"/>
          <w:sz w:val="28"/>
          <w:szCs w:val="28"/>
        </w:rPr>
        <w:t>万元，年末固定资产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43.36</w:t>
      </w:r>
      <w:r>
        <w:rPr>
          <w:rFonts w:hint="eastAsia" w:ascii="仿宋_GB2312" w:eastAsia="仿宋_GB2312"/>
          <w:sz w:val="28"/>
          <w:szCs w:val="28"/>
        </w:rPr>
        <w:t>万元，本年增</w:t>
      </w:r>
      <w:r>
        <w:rPr>
          <w:rFonts w:hint="eastAsia" w:ascii="仿宋_GB2312" w:eastAsia="仿宋_GB2312"/>
          <w:sz w:val="28"/>
          <w:szCs w:val="28"/>
          <w:lang w:eastAsia="zh-CN"/>
        </w:rPr>
        <w:t>增加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0.21万元，主要原因是本年购买打印机2台，致使资产增加。</w:t>
      </w:r>
    </w:p>
    <w:p>
      <w:pPr>
        <w:ind w:firstLine="420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8"/>
          <w:szCs w:val="28"/>
          <w:lang w:eastAsia="zh-CN"/>
        </w:rPr>
        <w:t>三、</w:t>
      </w:r>
      <w:r>
        <w:rPr>
          <w:rFonts w:hint="eastAsia"/>
          <w:b/>
          <w:bCs/>
          <w:sz w:val="28"/>
          <w:szCs w:val="28"/>
        </w:rPr>
        <w:t>“三公经费”公共预算财政拨款支出基本情况：</w:t>
      </w:r>
    </w:p>
    <w:p>
      <w:pPr>
        <w:rPr>
          <w:rFonts w:hint="eastAsia"/>
          <w:sz w:val="28"/>
          <w:szCs w:val="28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   本单位2015年度三公经费决算总支出2.87万元，预算安排4.00万元，完成预算的71.75</w:t>
      </w:r>
      <w:r>
        <w:rPr>
          <w:rFonts w:hint="eastAsia" w:ascii="仿宋_GB2312" w:eastAsia="仿宋_GB2312"/>
          <w:sz w:val="28"/>
          <w:szCs w:val="28"/>
        </w:rPr>
        <w:t>%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、因公出国（境）费</w:t>
      </w:r>
      <w:bookmarkStart w:id="2" w:name="OLE_LINK2"/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决算</w:t>
      </w:r>
      <w:bookmarkEnd w:id="2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支出没有安排，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2015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无发生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支出。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原因是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没有安排因公出国（境）学习、考察、参观等项目计划。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、公务用车购置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决算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支出没有安排，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2015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无发生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支出。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为公务用车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运行维护费支出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2.10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万元，与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2015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预算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相比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减少0.90万元，下降30.00%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。我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单位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积极响应中央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八项规定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号召，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制定公务用车有关管理制度，严格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压缩车辆运行开支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，致使本年度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车辆运行开支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同比下降。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、公务接待费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决算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0.77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万元，与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2015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预算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相比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减少0.23万元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。我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单位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积极响应中央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八项规定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号召，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制定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公务接待费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有关内部管理办法，致使本年度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公务接待费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比预算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压缩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开支。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4、本单位全年因出国（境）累计没有发生；年末公务用车保有量为1辆；外事接待没有发生。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 四、</w:t>
      </w:r>
      <w:r>
        <w:rPr>
          <w:rFonts w:hint="eastAsia" w:ascii="仿宋_GB2312"/>
          <w:b/>
          <w:bCs/>
          <w:sz w:val="30"/>
          <w:szCs w:val="30"/>
        </w:rPr>
        <w:t>机关</w:t>
      </w:r>
      <w:r>
        <w:rPr>
          <w:rFonts w:hint="eastAsia" w:ascii="仿宋_GB2312"/>
          <w:b/>
          <w:sz w:val="30"/>
          <w:szCs w:val="30"/>
        </w:rPr>
        <w:t>运行经费支出说明</w:t>
      </w:r>
    </w:p>
    <w:p>
      <w:pPr>
        <w:spacing w:line="580" w:lineRule="exact"/>
        <w:ind w:firstLine="602"/>
        <w:rPr>
          <w:rFonts w:hint="eastAsia"/>
          <w:sz w:val="30"/>
          <w:szCs w:val="30"/>
        </w:rPr>
      </w:pPr>
      <w:r>
        <w:rPr>
          <w:rFonts w:hint="eastAsia"/>
          <w:sz w:val="32"/>
          <w:szCs w:val="32"/>
          <w:lang w:val="en-US" w:eastAsia="zh-CN"/>
        </w:rPr>
        <w:t xml:space="preserve">  2015年本单位机关运行经费决算支出为27.85万元，与2014年相比，增加4.86万元。</w:t>
      </w:r>
      <w:r>
        <w:rPr>
          <w:rFonts w:hint="eastAsia" w:ascii="仿宋_GB2312" w:hAnsi="宋体"/>
          <w:sz w:val="30"/>
          <w:szCs w:val="30"/>
        </w:rPr>
        <w:t>主要原因是：</w:t>
      </w:r>
      <w:r>
        <w:rPr>
          <w:rFonts w:hint="eastAsia" w:ascii="仿宋_GB2312" w:hAnsi="宋体"/>
          <w:sz w:val="30"/>
          <w:szCs w:val="30"/>
          <w:lang w:eastAsia="zh-CN"/>
        </w:rPr>
        <w:t>今年以来遭受特大强台风“彩虹”袭</w:t>
      </w:r>
      <w:r>
        <w:rPr>
          <w:rFonts w:hint="eastAsia" w:ascii="仿宋_GB2312" w:hAnsi="宋体"/>
          <w:sz w:val="30"/>
          <w:szCs w:val="30"/>
          <w:lang w:val="en-US" w:eastAsia="zh-CN"/>
        </w:rPr>
        <w:t>击房屋受损，增加</w:t>
      </w:r>
      <w:r>
        <w:rPr>
          <w:rFonts w:hint="eastAsia" w:ascii="仿宋_GB2312" w:hAnsi="宋体"/>
          <w:sz w:val="30"/>
          <w:szCs w:val="30"/>
          <w:lang w:eastAsia="zh-CN"/>
        </w:rPr>
        <w:t>维修（护）费开支</w:t>
      </w:r>
      <w:r>
        <w:rPr>
          <w:rFonts w:hint="eastAsia" w:ascii="仿宋_GB2312" w:hAnsi="宋体"/>
          <w:sz w:val="30"/>
          <w:szCs w:val="30"/>
          <w:lang w:val="en-US" w:eastAsia="zh-CN"/>
        </w:rPr>
        <w:t>，致使今年本单位机关运行经费同比略有增加。</w:t>
      </w:r>
    </w:p>
    <w:p>
      <w:pPr>
        <w:numPr>
          <w:ilvl w:val="0"/>
          <w:numId w:val="2"/>
        </w:numPr>
        <w:jc w:val="left"/>
        <w:rPr>
          <w:rFonts w:hint="eastAsia" w:ascii="仿宋_GB2312"/>
          <w:b/>
          <w:sz w:val="30"/>
          <w:szCs w:val="30"/>
          <w:lang w:val="en-US" w:eastAsia="zh-CN"/>
        </w:rPr>
      </w:pPr>
      <w:r>
        <w:rPr>
          <w:rFonts w:hint="eastAsia" w:ascii="仿宋_GB2312"/>
          <w:b/>
          <w:sz w:val="30"/>
          <w:szCs w:val="30"/>
        </w:rPr>
        <w:t>政府采购支出说明</w:t>
      </w:r>
      <w:r>
        <w:rPr>
          <w:rFonts w:hint="eastAsia" w:ascii="仿宋_GB2312"/>
          <w:b/>
          <w:sz w:val="30"/>
          <w:szCs w:val="30"/>
          <w:lang w:val="en-US" w:eastAsia="zh-CN"/>
        </w:rPr>
        <w:t xml:space="preserve"> </w:t>
      </w:r>
    </w:p>
    <w:p>
      <w:pPr>
        <w:numPr>
          <w:ilvl w:val="0"/>
          <w:numId w:val="0"/>
        </w:numPr>
        <w:jc w:val="left"/>
        <w:rPr>
          <w:rFonts w:hint="eastAsia" w:ascii="仿宋_GB2312"/>
          <w:sz w:val="30"/>
          <w:szCs w:val="30"/>
          <w:lang w:eastAsia="zh-CN"/>
        </w:rPr>
      </w:pPr>
      <w:r>
        <w:rPr>
          <w:rFonts w:hint="eastAsia" w:ascii="仿宋_GB2312"/>
          <w:b/>
          <w:sz w:val="30"/>
          <w:szCs w:val="30"/>
          <w:lang w:val="en-US" w:eastAsia="zh-CN"/>
        </w:rPr>
        <w:t xml:space="preserve">     </w:t>
      </w:r>
      <w:r>
        <w:rPr>
          <w:rFonts w:hint="eastAsia" w:ascii="仿宋_GB2312"/>
          <w:sz w:val="30"/>
          <w:szCs w:val="30"/>
        </w:rPr>
        <w:t>2015年本部门政府采购支出总额</w:t>
      </w:r>
      <w:r>
        <w:rPr>
          <w:rFonts w:hint="eastAsia" w:ascii="仿宋_GB2312"/>
          <w:sz w:val="30"/>
          <w:szCs w:val="30"/>
          <w:lang w:val="en-US" w:eastAsia="zh-CN"/>
        </w:rPr>
        <w:t>0</w:t>
      </w:r>
      <w:r>
        <w:rPr>
          <w:rFonts w:hint="eastAsia" w:ascii="仿宋_GB2312"/>
          <w:sz w:val="30"/>
          <w:szCs w:val="30"/>
        </w:rPr>
        <w:t>万元，</w:t>
      </w:r>
      <w:r>
        <w:rPr>
          <w:rFonts w:hint="eastAsia" w:ascii="仿宋_GB2312"/>
          <w:sz w:val="30"/>
          <w:szCs w:val="30"/>
          <w:lang w:eastAsia="zh-CN"/>
        </w:rPr>
        <w:t>未有发生</w:t>
      </w:r>
      <w:r>
        <w:rPr>
          <w:rFonts w:hint="eastAsia" w:ascii="仿宋_GB2312"/>
          <w:sz w:val="30"/>
          <w:szCs w:val="30"/>
        </w:rPr>
        <w:t>政府采购支出</w:t>
      </w:r>
      <w:r>
        <w:rPr>
          <w:rFonts w:hint="eastAsia" w:ascii="仿宋_GB2312"/>
          <w:sz w:val="30"/>
          <w:szCs w:val="30"/>
          <w:lang w:eastAsia="zh-CN"/>
        </w:rPr>
        <w:t>业务。</w:t>
      </w:r>
    </w:p>
    <w:p>
      <w:pPr>
        <w:numPr>
          <w:ilvl w:val="0"/>
          <w:numId w:val="0"/>
        </w:numPr>
        <w:jc w:val="left"/>
        <w:rPr>
          <w:rFonts w:hint="eastAsia" w:ascii="仿宋_GB2312"/>
          <w:sz w:val="30"/>
          <w:szCs w:val="30"/>
          <w:lang w:eastAsia="zh-CN"/>
        </w:rPr>
      </w:pPr>
    </w:p>
    <w:p>
      <w:pPr>
        <w:numPr>
          <w:ilvl w:val="0"/>
          <w:numId w:val="0"/>
        </w:numPr>
        <w:jc w:val="left"/>
        <w:rPr>
          <w:rFonts w:hint="eastAsia" w:ascii="仿宋_GB2312"/>
          <w:sz w:val="30"/>
          <w:szCs w:val="30"/>
          <w:lang w:val="en-US" w:eastAsia="zh-CN"/>
        </w:rPr>
      </w:pPr>
      <w:r>
        <w:rPr>
          <w:rFonts w:hint="eastAsia" w:ascii="仿宋_GB2312"/>
          <w:sz w:val="30"/>
          <w:szCs w:val="30"/>
          <w:lang w:val="en-US" w:eastAsia="zh-CN"/>
        </w:rPr>
        <w:t xml:space="preserve">                            遂溪县供销合作联社</w:t>
      </w:r>
    </w:p>
    <w:p>
      <w:pPr>
        <w:numPr>
          <w:ilvl w:val="0"/>
          <w:numId w:val="0"/>
        </w:numPr>
        <w:jc w:val="left"/>
        <w:rPr>
          <w:rFonts w:hint="eastAsia" w:ascii="仿宋_GB2312"/>
          <w:sz w:val="30"/>
          <w:szCs w:val="30"/>
          <w:lang w:val="en-US" w:eastAsia="zh-CN"/>
        </w:rPr>
      </w:pPr>
      <w:r>
        <w:rPr>
          <w:rFonts w:hint="eastAsia" w:ascii="仿宋_GB2312"/>
          <w:sz w:val="30"/>
          <w:szCs w:val="30"/>
          <w:lang w:val="en-US" w:eastAsia="zh-CN"/>
        </w:rPr>
        <w:t xml:space="preserve">                             </w:t>
      </w:r>
      <w:bookmarkStart w:id="3" w:name="_GoBack"/>
      <w:bookmarkEnd w:id="3"/>
      <w:r>
        <w:rPr>
          <w:rFonts w:hint="eastAsia" w:ascii="仿宋_GB2312"/>
          <w:sz w:val="30"/>
          <w:szCs w:val="30"/>
          <w:lang w:val="en-US" w:eastAsia="zh-CN"/>
        </w:rPr>
        <w:t>2016年8月31日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MS Mincho">
    <w:altName w:val="MS UI Gothic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3E1EF"/>
    <w:multiLevelType w:val="singleLevel"/>
    <w:tmpl w:val="57C3E1EF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7C409E1"/>
    <w:multiLevelType w:val="singleLevel"/>
    <w:tmpl w:val="57C409E1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67DEF"/>
    <w:rsid w:val="00722C16"/>
    <w:rsid w:val="013775B1"/>
    <w:rsid w:val="01A55D9A"/>
    <w:rsid w:val="01FF23B9"/>
    <w:rsid w:val="05360659"/>
    <w:rsid w:val="054F7D34"/>
    <w:rsid w:val="05BE0F66"/>
    <w:rsid w:val="05C12DE4"/>
    <w:rsid w:val="064F7C76"/>
    <w:rsid w:val="06D14638"/>
    <w:rsid w:val="094120B1"/>
    <w:rsid w:val="09914C89"/>
    <w:rsid w:val="0AC9168C"/>
    <w:rsid w:val="0AFB4EBD"/>
    <w:rsid w:val="0BF70238"/>
    <w:rsid w:val="0F5D4974"/>
    <w:rsid w:val="1113643B"/>
    <w:rsid w:val="11DB4AD3"/>
    <w:rsid w:val="11E76D61"/>
    <w:rsid w:val="14375333"/>
    <w:rsid w:val="184F22D4"/>
    <w:rsid w:val="187D57B0"/>
    <w:rsid w:val="19384DBE"/>
    <w:rsid w:val="1A071F4E"/>
    <w:rsid w:val="1B0B4006"/>
    <w:rsid w:val="1D2A7F82"/>
    <w:rsid w:val="1F17592E"/>
    <w:rsid w:val="23DC3810"/>
    <w:rsid w:val="24687098"/>
    <w:rsid w:val="24932648"/>
    <w:rsid w:val="250B00C4"/>
    <w:rsid w:val="269045E3"/>
    <w:rsid w:val="26A541C8"/>
    <w:rsid w:val="26F91A8D"/>
    <w:rsid w:val="29BC50B4"/>
    <w:rsid w:val="2A245A23"/>
    <w:rsid w:val="2C21717E"/>
    <w:rsid w:val="2C2D71A1"/>
    <w:rsid w:val="2C9B65B8"/>
    <w:rsid w:val="2E6E28D4"/>
    <w:rsid w:val="304B6CB7"/>
    <w:rsid w:val="30956B08"/>
    <w:rsid w:val="343A1B4E"/>
    <w:rsid w:val="364E1557"/>
    <w:rsid w:val="36906D6B"/>
    <w:rsid w:val="37135531"/>
    <w:rsid w:val="37993AF5"/>
    <w:rsid w:val="37A8285E"/>
    <w:rsid w:val="37C3387E"/>
    <w:rsid w:val="391E77AA"/>
    <w:rsid w:val="39466882"/>
    <w:rsid w:val="399C0079"/>
    <w:rsid w:val="3A1338BC"/>
    <w:rsid w:val="3B4C037E"/>
    <w:rsid w:val="3B9C23C8"/>
    <w:rsid w:val="3C8441BE"/>
    <w:rsid w:val="3D7D0688"/>
    <w:rsid w:val="3D967DEF"/>
    <w:rsid w:val="3D9B052A"/>
    <w:rsid w:val="3DC053BD"/>
    <w:rsid w:val="3DD67DCD"/>
    <w:rsid w:val="3E4F465D"/>
    <w:rsid w:val="3ED14209"/>
    <w:rsid w:val="3FD41D27"/>
    <w:rsid w:val="408C5506"/>
    <w:rsid w:val="426D6C35"/>
    <w:rsid w:val="437C56CE"/>
    <w:rsid w:val="44C4326A"/>
    <w:rsid w:val="45CB0E8D"/>
    <w:rsid w:val="4AFB1305"/>
    <w:rsid w:val="4B51019C"/>
    <w:rsid w:val="4D264E82"/>
    <w:rsid w:val="4E4A51F5"/>
    <w:rsid w:val="51D80999"/>
    <w:rsid w:val="538433FE"/>
    <w:rsid w:val="53FA6C69"/>
    <w:rsid w:val="54656B60"/>
    <w:rsid w:val="558D5683"/>
    <w:rsid w:val="55B206DB"/>
    <w:rsid w:val="58090B0F"/>
    <w:rsid w:val="5A625D9B"/>
    <w:rsid w:val="5B8A37A9"/>
    <w:rsid w:val="5C1F4496"/>
    <w:rsid w:val="5D60593B"/>
    <w:rsid w:val="5E3466CD"/>
    <w:rsid w:val="607E1F4F"/>
    <w:rsid w:val="61267877"/>
    <w:rsid w:val="62682F5A"/>
    <w:rsid w:val="62897B73"/>
    <w:rsid w:val="62A10093"/>
    <w:rsid w:val="64402164"/>
    <w:rsid w:val="654B3DC5"/>
    <w:rsid w:val="65783268"/>
    <w:rsid w:val="6644110F"/>
    <w:rsid w:val="66DD2BA8"/>
    <w:rsid w:val="69BB75E5"/>
    <w:rsid w:val="6A824B86"/>
    <w:rsid w:val="6CE7665D"/>
    <w:rsid w:val="6CFB1F5B"/>
    <w:rsid w:val="6D4D37B6"/>
    <w:rsid w:val="6DCA1A1C"/>
    <w:rsid w:val="6E7619AD"/>
    <w:rsid w:val="6E9612ED"/>
    <w:rsid w:val="70834E13"/>
    <w:rsid w:val="72AA74CC"/>
    <w:rsid w:val="73EA4DB2"/>
    <w:rsid w:val="77F34838"/>
    <w:rsid w:val="783C6E46"/>
    <w:rsid w:val="799D657C"/>
    <w:rsid w:val="7BF23FC7"/>
    <w:rsid w:val="7C0A28FE"/>
    <w:rsid w:val="7D293535"/>
    <w:rsid w:val="7EF56A5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2016-08-29T07:14:00Z</dcterms:created>
  <dc:creator>Administrator</dc:creator>
  <cp:lastModifiedBy>Administrator</cp:lastModifiedBy>
  <dcterms:modified xsi:type="dcterms:W3CDTF">2016-08-31T03:04:03Z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